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C03" w:rsidRPr="001C3B72" w:rsidRDefault="003B7C03" w:rsidP="003B7C03">
      <w:pPr>
        <w:jc w:val="center"/>
        <w:rPr>
          <w:rFonts w:ascii="Times New Roman" w:hAnsi="Times New Roman" w:cs="Times New Roman"/>
          <w:b/>
          <w:sz w:val="24"/>
          <w:szCs w:val="24"/>
        </w:rPr>
      </w:pPr>
      <w:bookmarkStart w:id="0" w:name="_Toc488218997"/>
      <w:r w:rsidRPr="001C3B72">
        <w:rPr>
          <w:rFonts w:ascii="Times New Roman" w:hAnsi="Times New Roman" w:cs="Times New Roman"/>
          <w:b/>
          <w:sz w:val="24"/>
          <w:szCs w:val="24"/>
        </w:rPr>
        <w:t>ПРАВИЛА</w:t>
      </w:r>
      <w:r w:rsidRPr="001C3B72">
        <w:rPr>
          <w:rFonts w:ascii="Times New Roman" w:hAnsi="Times New Roman" w:cs="Times New Roman"/>
          <w:b/>
          <w:sz w:val="24"/>
          <w:szCs w:val="24"/>
        </w:rPr>
        <w:br/>
        <w:t>предоставления в пользование</w:t>
      </w:r>
      <w:bookmarkEnd w:id="0"/>
      <w:r>
        <w:rPr>
          <w:rFonts w:ascii="Times New Roman" w:hAnsi="Times New Roman" w:cs="Times New Roman"/>
          <w:b/>
          <w:sz w:val="24"/>
          <w:szCs w:val="24"/>
        </w:rPr>
        <w:t xml:space="preserve"> </w:t>
      </w:r>
      <w:r w:rsidRPr="001C3B72">
        <w:rPr>
          <w:rFonts w:ascii="Times New Roman" w:hAnsi="Times New Roman" w:cs="Times New Roman"/>
          <w:b/>
          <w:sz w:val="24"/>
          <w:szCs w:val="24"/>
        </w:rPr>
        <w:t>ИБС</w:t>
      </w:r>
      <w:r>
        <w:rPr>
          <w:rFonts w:ascii="Times New Roman" w:hAnsi="Times New Roman" w:cs="Times New Roman"/>
          <w:b/>
          <w:sz w:val="24"/>
          <w:szCs w:val="24"/>
        </w:rPr>
        <w:t xml:space="preserve"> в ООО «ТАТАГРОПРОМБАНК»</w:t>
      </w:r>
    </w:p>
    <w:p w:rsidR="003B7C03" w:rsidRPr="003F2E4E" w:rsidRDefault="003B7C03" w:rsidP="003B7C03">
      <w:pPr>
        <w:pStyle w:val="1"/>
        <w:numPr>
          <w:ilvl w:val="0"/>
          <w:numId w:val="1"/>
        </w:numPr>
        <w:jc w:val="both"/>
        <w:rPr>
          <w:b w:val="0"/>
          <w:szCs w:val="24"/>
        </w:rPr>
      </w:pPr>
      <w:r w:rsidRPr="003F2E4E">
        <w:rPr>
          <w:b w:val="0"/>
          <w:szCs w:val="24"/>
        </w:rPr>
        <w:t xml:space="preserve">Настоящие правила (далее – Правила) определяют порядок предоставления ООО «ТАТАГРОПРОМБАНК» (далее – Банк) индивидуальных банковских сейфов (секций-ячеек) (далее – ИБС) во временное пользование физическим и юридическим лицам, индивидуальным предпринимателям, а также </w:t>
      </w:r>
      <w:proofErr w:type="gramStart"/>
      <w:r w:rsidRPr="003F2E4E">
        <w:rPr>
          <w:b w:val="0"/>
          <w:szCs w:val="24"/>
        </w:rPr>
        <w:t>лицам</w:t>
      </w:r>
      <w:proofErr w:type="gramEnd"/>
      <w:r w:rsidRPr="003F2E4E">
        <w:rPr>
          <w:b w:val="0"/>
          <w:szCs w:val="24"/>
        </w:rPr>
        <w:t xml:space="preserve"> занимающимся частной практикой (далее – Арендаторы). Правила являются неотъемлемой частью Договора между Банком и Арендатором (</w:t>
      </w:r>
      <w:proofErr w:type="spellStart"/>
      <w:r w:rsidRPr="003F2E4E">
        <w:rPr>
          <w:b w:val="0"/>
          <w:szCs w:val="24"/>
        </w:rPr>
        <w:t>ами</w:t>
      </w:r>
      <w:proofErr w:type="spellEnd"/>
      <w:r w:rsidRPr="003F2E4E">
        <w:rPr>
          <w:b w:val="0"/>
          <w:szCs w:val="24"/>
        </w:rPr>
        <w:t>) (далее – Стороны).</w:t>
      </w:r>
    </w:p>
    <w:p w:rsidR="003B7C03" w:rsidRPr="003F2E4E" w:rsidRDefault="003B7C03" w:rsidP="003B7C03">
      <w:pPr>
        <w:pStyle w:val="1"/>
        <w:numPr>
          <w:ilvl w:val="0"/>
          <w:numId w:val="1"/>
        </w:numPr>
        <w:jc w:val="both"/>
        <w:rPr>
          <w:b w:val="0"/>
          <w:szCs w:val="24"/>
        </w:rPr>
      </w:pPr>
      <w:r w:rsidRPr="003F2E4E">
        <w:rPr>
          <w:b w:val="0"/>
          <w:szCs w:val="24"/>
        </w:rPr>
        <w:t>ИБС предоставляется Арендатор</w:t>
      </w:r>
      <w:proofErr w:type="gramStart"/>
      <w:r w:rsidRPr="003F2E4E">
        <w:rPr>
          <w:b w:val="0"/>
          <w:szCs w:val="24"/>
        </w:rPr>
        <w:t>у(</w:t>
      </w:r>
      <w:proofErr w:type="spellStart"/>
      <w:proofErr w:type="gramEnd"/>
      <w:r w:rsidRPr="003F2E4E">
        <w:rPr>
          <w:b w:val="0"/>
          <w:szCs w:val="24"/>
        </w:rPr>
        <w:t>ам</w:t>
      </w:r>
      <w:proofErr w:type="spellEnd"/>
      <w:r w:rsidRPr="003F2E4E">
        <w:rPr>
          <w:b w:val="0"/>
          <w:szCs w:val="24"/>
        </w:rPr>
        <w:t>) в пользование на основании заключенного между Сторонами Договора ИБС (далее – Договор). Договор является срочным и предусматривает возможность предоставления в пользование только одного ИБС. Договор заключается сроком (далее - срок пользования ИБС) от одного дня до одного года. Договор может быть заключен как одним, так и несколькими Арендаторами. Срок аренды ИБС может быть продлен на основании заключенного Сторонами Дополнительного соглашения к Договору. При этом каждый новый срок пользования исчисляется заново со дня, следующего за днем окончания каждого предшествующего срока пользования установленного Договором или Дополнительным соглашением к Договору соответственно. Дополнительное соглашение к Договору о продлении срока пользования может быть заключено не позднее 14 календарных дней со дня окончания срока пользования, установленного Договором или Дополнительным соглашением к Договору.</w:t>
      </w:r>
    </w:p>
    <w:p w:rsidR="003B7C03" w:rsidRPr="003F2E4E" w:rsidRDefault="003B7C03" w:rsidP="003B7C03">
      <w:pPr>
        <w:pStyle w:val="1"/>
        <w:numPr>
          <w:ilvl w:val="0"/>
          <w:numId w:val="1"/>
        </w:numPr>
        <w:jc w:val="both"/>
        <w:rPr>
          <w:b w:val="0"/>
          <w:szCs w:val="24"/>
        </w:rPr>
      </w:pPr>
      <w:r w:rsidRPr="003F2E4E">
        <w:rPr>
          <w:b w:val="0"/>
          <w:szCs w:val="24"/>
        </w:rPr>
        <w:t>В случае изменения персональных данных, в том числе места жительства Арендатор (</w:t>
      </w:r>
      <w:proofErr w:type="spellStart"/>
      <w:r w:rsidRPr="003F2E4E">
        <w:rPr>
          <w:b w:val="0"/>
          <w:szCs w:val="24"/>
        </w:rPr>
        <w:t>ы</w:t>
      </w:r>
      <w:proofErr w:type="spellEnd"/>
      <w:r w:rsidRPr="003F2E4E">
        <w:rPr>
          <w:b w:val="0"/>
          <w:szCs w:val="24"/>
        </w:rPr>
        <w:t>) в течение 3 дней письменно извещает (ют) об этом Банк, с указанием измененных данных.</w:t>
      </w:r>
    </w:p>
    <w:p w:rsidR="003B7C03" w:rsidRPr="003F2E4E" w:rsidRDefault="003B7C03" w:rsidP="003B7C03">
      <w:pPr>
        <w:pStyle w:val="1"/>
        <w:numPr>
          <w:ilvl w:val="0"/>
          <w:numId w:val="1"/>
        </w:numPr>
        <w:jc w:val="both"/>
        <w:rPr>
          <w:b w:val="0"/>
          <w:szCs w:val="24"/>
        </w:rPr>
      </w:pPr>
      <w:r w:rsidRPr="003F2E4E">
        <w:rPr>
          <w:b w:val="0"/>
          <w:szCs w:val="24"/>
        </w:rPr>
        <w:t>Банк предоставляет ИБС, находящиеся в специально оборудованных помещениях Банка (далее – Хранилище ИБС), в пользование для хранения драгоценных металлов, камней, иных ценностей, в том числе документо</w:t>
      </w:r>
      <w:proofErr w:type="gramStart"/>
      <w:r w:rsidRPr="003F2E4E">
        <w:rPr>
          <w:b w:val="0"/>
          <w:szCs w:val="24"/>
        </w:rPr>
        <w:t>в(</w:t>
      </w:r>
      <w:proofErr w:type="gramEnd"/>
      <w:r w:rsidRPr="003F2E4E">
        <w:rPr>
          <w:b w:val="0"/>
          <w:szCs w:val="24"/>
        </w:rPr>
        <w:t>далее – Предмет хранения), без принятия Банком ответственности за содержимое ИБС. Арендатор (</w:t>
      </w:r>
      <w:proofErr w:type="spellStart"/>
      <w:r w:rsidRPr="003F2E4E">
        <w:rPr>
          <w:b w:val="0"/>
          <w:szCs w:val="24"/>
        </w:rPr>
        <w:t>ы</w:t>
      </w:r>
      <w:proofErr w:type="spellEnd"/>
      <w:r w:rsidRPr="003F2E4E">
        <w:rPr>
          <w:b w:val="0"/>
          <w:szCs w:val="24"/>
        </w:rPr>
        <w:t>) должен (</w:t>
      </w:r>
      <w:proofErr w:type="spellStart"/>
      <w:r w:rsidRPr="003F2E4E">
        <w:rPr>
          <w:b w:val="0"/>
          <w:szCs w:val="24"/>
        </w:rPr>
        <w:t>ны</w:t>
      </w:r>
      <w:proofErr w:type="spellEnd"/>
      <w:r w:rsidRPr="003F2E4E">
        <w:rPr>
          <w:b w:val="0"/>
          <w:szCs w:val="24"/>
        </w:rPr>
        <w:t xml:space="preserve">) самостоятельно заботиться о том, что бы содержимое ИБС не подвергалось повреждениям, вызванным состоянием предметов, помещенных на хранение в ИБС (деформация, ржавчина, разрушение, повреждения от выделения предметами химически активных веществ т.п.) </w:t>
      </w:r>
    </w:p>
    <w:p w:rsidR="003B7C03" w:rsidRPr="003F2E4E" w:rsidRDefault="003B7C03" w:rsidP="003B7C03">
      <w:pPr>
        <w:pStyle w:val="1"/>
        <w:numPr>
          <w:ilvl w:val="0"/>
          <w:numId w:val="1"/>
        </w:numPr>
        <w:jc w:val="both"/>
        <w:rPr>
          <w:b w:val="0"/>
          <w:szCs w:val="24"/>
        </w:rPr>
      </w:pPr>
      <w:r w:rsidRPr="003F2E4E">
        <w:rPr>
          <w:b w:val="0"/>
          <w:szCs w:val="24"/>
        </w:rPr>
        <w:t>Арендатор (</w:t>
      </w:r>
      <w:proofErr w:type="spellStart"/>
      <w:r w:rsidRPr="003F2E4E">
        <w:rPr>
          <w:b w:val="0"/>
          <w:szCs w:val="24"/>
        </w:rPr>
        <w:t>ы</w:t>
      </w:r>
      <w:proofErr w:type="spellEnd"/>
      <w:r w:rsidRPr="003F2E4E">
        <w:rPr>
          <w:b w:val="0"/>
          <w:szCs w:val="24"/>
        </w:rPr>
        <w:t>) не вправе использовать ИБС для хранения пожароопасных, взрывоопасных, радиоактивных, отравляющих и других веществ и предметов, представляющих угрозу для здоровья, жизни людей и окружающей среды; оружия, наркотических средств и других веществ и предметов, от которых в период хранения могут исходить сильные запахи, звуки, свечения и излучения, вибрация, изменения температуры, выделение жидкостей и газов и другие подобные явления, сопряженные с невозможностью нормального использования Хранилища ИБС.</w:t>
      </w:r>
    </w:p>
    <w:p w:rsidR="003B7C03" w:rsidRPr="003F2E4E" w:rsidRDefault="003B7C03" w:rsidP="003B7C03">
      <w:pPr>
        <w:pStyle w:val="1"/>
        <w:numPr>
          <w:ilvl w:val="0"/>
          <w:numId w:val="1"/>
        </w:numPr>
        <w:jc w:val="both"/>
        <w:rPr>
          <w:b w:val="0"/>
          <w:szCs w:val="24"/>
        </w:rPr>
      </w:pPr>
      <w:r w:rsidRPr="003F2E4E">
        <w:rPr>
          <w:b w:val="0"/>
          <w:szCs w:val="24"/>
        </w:rPr>
        <w:t>В случае причинения ущерба Банку при нарушении Правил Арендатор (</w:t>
      </w:r>
      <w:proofErr w:type="spellStart"/>
      <w:r w:rsidRPr="003F2E4E">
        <w:rPr>
          <w:b w:val="0"/>
          <w:szCs w:val="24"/>
        </w:rPr>
        <w:t>ы</w:t>
      </w:r>
      <w:proofErr w:type="spellEnd"/>
      <w:r w:rsidRPr="003F2E4E">
        <w:rPr>
          <w:b w:val="0"/>
          <w:szCs w:val="24"/>
        </w:rPr>
        <w:t>) несет (</w:t>
      </w:r>
      <w:proofErr w:type="spellStart"/>
      <w:r w:rsidRPr="003F2E4E">
        <w:rPr>
          <w:b w:val="0"/>
          <w:szCs w:val="24"/>
        </w:rPr>
        <w:t>ут</w:t>
      </w:r>
      <w:proofErr w:type="spellEnd"/>
      <w:r w:rsidRPr="003F2E4E">
        <w:rPr>
          <w:b w:val="0"/>
          <w:szCs w:val="24"/>
        </w:rPr>
        <w:t>) материальную ответственность перед Банком в размере причиненного ущерба.</w:t>
      </w:r>
    </w:p>
    <w:p w:rsidR="003B7C03" w:rsidRPr="003F2E4E" w:rsidRDefault="003B7C03" w:rsidP="003B7C03">
      <w:pPr>
        <w:pStyle w:val="1"/>
        <w:numPr>
          <w:ilvl w:val="0"/>
          <w:numId w:val="1"/>
        </w:numPr>
        <w:jc w:val="both"/>
        <w:rPr>
          <w:b w:val="0"/>
          <w:szCs w:val="24"/>
        </w:rPr>
      </w:pPr>
      <w:r w:rsidRPr="003F2E4E">
        <w:rPr>
          <w:b w:val="0"/>
          <w:szCs w:val="24"/>
        </w:rPr>
        <w:t>ИБС предоставляется Арендатору (</w:t>
      </w:r>
      <w:proofErr w:type="spellStart"/>
      <w:r w:rsidRPr="003F2E4E">
        <w:rPr>
          <w:b w:val="0"/>
          <w:szCs w:val="24"/>
        </w:rPr>
        <w:t>ам</w:t>
      </w:r>
      <w:proofErr w:type="spellEnd"/>
      <w:r w:rsidRPr="003F2E4E">
        <w:rPr>
          <w:b w:val="0"/>
          <w:szCs w:val="24"/>
        </w:rPr>
        <w:t>) после поступления комисси</w:t>
      </w:r>
      <w:proofErr w:type="gramStart"/>
      <w:r w:rsidRPr="003F2E4E">
        <w:rPr>
          <w:b w:val="0"/>
          <w:szCs w:val="24"/>
        </w:rPr>
        <w:t>и(</w:t>
      </w:r>
      <w:proofErr w:type="gramEnd"/>
      <w:r w:rsidRPr="003F2E4E">
        <w:rPr>
          <w:b w:val="0"/>
          <w:szCs w:val="24"/>
        </w:rPr>
        <w:t>далее - Арендная плата) за предоставление в пользование ИБС. Размер арендной платы определяется действующими на момент заключения Договора тарифами Банка. Арендная плата, по согласованию с Банком, может быть внесена Арендатором (</w:t>
      </w:r>
      <w:proofErr w:type="spellStart"/>
      <w:r w:rsidRPr="003F2E4E">
        <w:rPr>
          <w:b w:val="0"/>
          <w:szCs w:val="24"/>
        </w:rPr>
        <w:t>ами</w:t>
      </w:r>
      <w:proofErr w:type="spellEnd"/>
      <w:r w:rsidRPr="003F2E4E">
        <w:rPr>
          <w:b w:val="0"/>
          <w:szCs w:val="24"/>
        </w:rPr>
        <w:t>) в безналичном порядке. В случае досрочного освобождения ИБС ранее взысканная арендная плата не возвращается.</w:t>
      </w:r>
    </w:p>
    <w:p w:rsidR="003B7C03" w:rsidRPr="003F2E4E" w:rsidRDefault="003B7C03" w:rsidP="003B7C03">
      <w:pPr>
        <w:pStyle w:val="1"/>
        <w:numPr>
          <w:ilvl w:val="0"/>
          <w:numId w:val="1"/>
        </w:numPr>
        <w:jc w:val="both"/>
        <w:rPr>
          <w:b w:val="0"/>
          <w:szCs w:val="24"/>
        </w:rPr>
      </w:pPr>
      <w:r w:rsidRPr="003F2E4E">
        <w:rPr>
          <w:b w:val="0"/>
          <w:szCs w:val="24"/>
        </w:rPr>
        <w:t xml:space="preserve">В случае не поступления Арендной платы за предоставление в пользование ИБС более одного месяца и не соблюдении настоящих Правил Банк вправе расторгнуть Договор в одностороннем порядке и вскрыть ИБС. В этом случае Банк письменно </w:t>
      </w:r>
      <w:r w:rsidRPr="003F2E4E">
        <w:rPr>
          <w:b w:val="0"/>
          <w:szCs w:val="24"/>
        </w:rPr>
        <w:lastRenderedPageBreak/>
        <w:t>уведомляет Арендатора (</w:t>
      </w:r>
      <w:proofErr w:type="spellStart"/>
      <w:r w:rsidRPr="003F2E4E">
        <w:rPr>
          <w:b w:val="0"/>
          <w:szCs w:val="24"/>
        </w:rPr>
        <w:t>ов</w:t>
      </w:r>
      <w:proofErr w:type="spellEnd"/>
      <w:r w:rsidRPr="003F2E4E">
        <w:rPr>
          <w:b w:val="0"/>
          <w:szCs w:val="24"/>
        </w:rPr>
        <w:t xml:space="preserve">) о времени и причинах расторжения Договора по адресу, указанному в Договоре или заявлении на аренду ИБС. </w:t>
      </w:r>
      <w:proofErr w:type="gramStart"/>
      <w:r w:rsidRPr="003F2E4E">
        <w:rPr>
          <w:b w:val="0"/>
          <w:szCs w:val="24"/>
        </w:rPr>
        <w:t>В случае неявки Арендатора (</w:t>
      </w:r>
      <w:proofErr w:type="spellStart"/>
      <w:r w:rsidRPr="003F2E4E">
        <w:rPr>
          <w:b w:val="0"/>
          <w:szCs w:val="24"/>
        </w:rPr>
        <w:t>ов</w:t>
      </w:r>
      <w:proofErr w:type="spellEnd"/>
      <w:r w:rsidRPr="003F2E4E">
        <w:rPr>
          <w:b w:val="0"/>
          <w:szCs w:val="24"/>
        </w:rPr>
        <w:t>) / Представителя (в Банк по истечении 1 месяца со дня отправки уведомления, вскрытие ИБС производится назначенной  руководителем Банка комиссией с оформлением соответствующего акта.</w:t>
      </w:r>
      <w:proofErr w:type="gramEnd"/>
    </w:p>
    <w:p w:rsidR="003B7C03" w:rsidRPr="003F2E4E" w:rsidRDefault="003B7C03" w:rsidP="003B7C03">
      <w:pPr>
        <w:pStyle w:val="1"/>
        <w:numPr>
          <w:ilvl w:val="0"/>
          <w:numId w:val="1"/>
        </w:numPr>
        <w:jc w:val="both"/>
        <w:rPr>
          <w:b w:val="0"/>
          <w:szCs w:val="24"/>
        </w:rPr>
      </w:pPr>
      <w:r w:rsidRPr="003F2E4E">
        <w:rPr>
          <w:b w:val="0"/>
          <w:szCs w:val="24"/>
        </w:rPr>
        <w:t>Для пользования ИБС Банк передает Арендатору (</w:t>
      </w:r>
      <w:proofErr w:type="spellStart"/>
      <w:r w:rsidRPr="003F2E4E">
        <w:rPr>
          <w:b w:val="0"/>
          <w:szCs w:val="24"/>
        </w:rPr>
        <w:t>ам</w:t>
      </w:r>
      <w:proofErr w:type="spellEnd"/>
      <w:r w:rsidRPr="003F2E4E">
        <w:rPr>
          <w:b w:val="0"/>
          <w:szCs w:val="24"/>
        </w:rPr>
        <w:t xml:space="preserve">) / Представителю (ям) ключ </w:t>
      </w:r>
      <w:proofErr w:type="gramStart"/>
      <w:r w:rsidRPr="003F2E4E">
        <w:rPr>
          <w:b w:val="0"/>
          <w:szCs w:val="24"/>
        </w:rPr>
        <w:t>от</w:t>
      </w:r>
      <w:proofErr w:type="gramEnd"/>
      <w:r w:rsidRPr="003F2E4E">
        <w:rPr>
          <w:b w:val="0"/>
          <w:szCs w:val="24"/>
        </w:rPr>
        <w:t xml:space="preserve"> </w:t>
      </w:r>
      <w:proofErr w:type="gramStart"/>
      <w:r w:rsidRPr="003F2E4E">
        <w:rPr>
          <w:b w:val="0"/>
          <w:szCs w:val="24"/>
        </w:rPr>
        <w:t>ИБС</w:t>
      </w:r>
      <w:proofErr w:type="gramEnd"/>
      <w:r w:rsidRPr="003F2E4E">
        <w:rPr>
          <w:b w:val="0"/>
          <w:szCs w:val="24"/>
        </w:rPr>
        <w:t xml:space="preserve"> (далее – Клиентский ключ) по  Акту приема – передачи ключей от ИБС (далее – Акт приема – передачи ИБС), по форме, установленной Банком и Карточкой на пользование ИБС. Непосредственно перед оформлением Акта приема – передачи ИБС Стороны совместно и самостоятельно проверяют состояние ИБС, его замков и ключей </w:t>
      </w:r>
      <w:proofErr w:type="gramStart"/>
      <w:r w:rsidRPr="003F2E4E">
        <w:rPr>
          <w:b w:val="0"/>
          <w:szCs w:val="24"/>
        </w:rPr>
        <w:t>от</w:t>
      </w:r>
      <w:proofErr w:type="gramEnd"/>
      <w:r w:rsidRPr="003F2E4E">
        <w:rPr>
          <w:b w:val="0"/>
          <w:szCs w:val="24"/>
        </w:rPr>
        <w:t xml:space="preserve"> </w:t>
      </w:r>
      <w:proofErr w:type="gramStart"/>
      <w:r w:rsidRPr="003F2E4E">
        <w:rPr>
          <w:b w:val="0"/>
          <w:szCs w:val="24"/>
        </w:rPr>
        <w:t>ИБС</w:t>
      </w:r>
      <w:proofErr w:type="gramEnd"/>
      <w:r w:rsidRPr="003F2E4E">
        <w:rPr>
          <w:b w:val="0"/>
          <w:szCs w:val="24"/>
        </w:rPr>
        <w:t xml:space="preserve"> на предмет исправного состояния и работоспособности.</w:t>
      </w:r>
    </w:p>
    <w:p w:rsidR="003B7C03" w:rsidRPr="003F2E4E" w:rsidRDefault="003B7C03" w:rsidP="003B7C03">
      <w:pPr>
        <w:pStyle w:val="1"/>
        <w:numPr>
          <w:ilvl w:val="0"/>
          <w:numId w:val="1"/>
        </w:numPr>
        <w:jc w:val="both"/>
        <w:rPr>
          <w:b w:val="0"/>
          <w:szCs w:val="24"/>
        </w:rPr>
      </w:pPr>
      <w:r w:rsidRPr="003F2E4E">
        <w:rPr>
          <w:b w:val="0"/>
          <w:szCs w:val="24"/>
        </w:rPr>
        <w:t xml:space="preserve">Доступ </w:t>
      </w:r>
      <w:proofErr w:type="gramStart"/>
      <w:r w:rsidRPr="003F2E4E">
        <w:rPr>
          <w:b w:val="0"/>
          <w:szCs w:val="24"/>
        </w:rPr>
        <w:t>к</w:t>
      </w:r>
      <w:proofErr w:type="gramEnd"/>
      <w:r w:rsidRPr="003F2E4E">
        <w:rPr>
          <w:b w:val="0"/>
          <w:szCs w:val="24"/>
        </w:rPr>
        <w:t xml:space="preserve"> ИБС разрешается только при условии использования Клиентского ключа, переданного Банком. Изготовление дубликата Клиентского ключа не допускается.</w:t>
      </w:r>
    </w:p>
    <w:p w:rsidR="003B7C03" w:rsidRPr="003F2E4E" w:rsidRDefault="003B7C03" w:rsidP="003B7C03">
      <w:pPr>
        <w:pStyle w:val="1"/>
        <w:numPr>
          <w:ilvl w:val="0"/>
          <w:numId w:val="1"/>
        </w:numPr>
        <w:jc w:val="both"/>
        <w:rPr>
          <w:b w:val="0"/>
          <w:szCs w:val="24"/>
        </w:rPr>
      </w:pPr>
      <w:r w:rsidRPr="003F2E4E">
        <w:rPr>
          <w:b w:val="0"/>
          <w:szCs w:val="24"/>
        </w:rPr>
        <w:t>В случае утраты ключа</w:t>
      </w:r>
      <w:proofErr w:type="gramStart"/>
      <w:r w:rsidRPr="003F2E4E">
        <w:rPr>
          <w:b w:val="0"/>
          <w:szCs w:val="24"/>
        </w:rPr>
        <w:t xml:space="preserve"> (-</w:t>
      </w:r>
      <w:proofErr w:type="gramEnd"/>
      <w:r w:rsidRPr="003F2E4E">
        <w:rPr>
          <w:b w:val="0"/>
          <w:szCs w:val="24"/>
        </w:rPr>
        <w:t>ей) или Карточки на право пользования ИБС Арендатор (</w:t>
      </w:r>
      <w:proofErr w:type="spellStart"/>
      <w:r w:rsidRPr="003F2E4E">
        <w:rPr>
          <w:b w:val="0"/>
          <w:szCs w:val="24"/>
        </w:rPr>
        <w:t>ы</w:t>
      </w:r>
      <w:proofErr w:type="spellEnd"/>
      <w:r w:rsidRPr="003F2E4E">
        <w:rPr>
          <w:b w:val="0"/>
          <w:szCs w:val="24"/>
        </w:rPr>
        <w:t>) немедленно в письменной форме сообщает (ют) об этом Банку с указанием номера ИБС, фамилии, имени, отчества Арендатора (</w:t>
      </w:r>
      <w:proofErr w:type="spellStart"/>
      <w:r w:rsidRPr="003F2E4E">
        <w:rPr>
          <w:b w:val="0"/>
          <w:szCs w:val="24"/>
        </w:rPr>
        <w:t>ов</w:t>
      </w:r>
      <w:proofErr w:type="spellEnd"/>
      <w:r w:rsidRPr="003F2E4E">
        <w:rPr>
          <w:b w:val="0"/>
          <w:szCs w:val="24"/>
        </w:rPr>
        <w:t>).</w:t>
      </w:r>
    </w:p>
    <w:p w:rsidR="003B7C03" w:rsidRPr="003F2E4E" w:rsidRDefault="003B7C03" w:rsidP="003B7C03">
      <w:pPr>
        <w:pStyle w:val="1"/>
        <w:numPr>
          <w:ilvl w:val="0"/>
          <w:numId w:val="1"/>
        </w:numPr>
        <w:jc w:val="both"/>
        <w:rPr>
          <w:b w:val="0"/>
          <w:szCs w:val="24"/>
        </w:rPr>
      </w:pPr>
      <w:r w:rsidRPr="003F2E4E">
        <w:rPr>
          <w:b w:val="0"/>
          <w:szCs w:val="24"/>
        </w:rPr>
        <w:t>Стоимость замены и ремонта замка или ИБС оплачивается Арендатором (</w:t>
      </w:r>
      <w:proofErr w:type="spellStart"/>
      <w:r w:rsidRPr="003F2E4E">
        <w:rPr>
          <w:b w:val="0"/>
          <w:szCs w:val="24"/>
        </w:rPr>
        <w:t>ами</w:t>
      </w:r>
      <w:proofErr w:type="spellEnd"/>
      <w:r w:rsidRPr="003F2E4E">
        <w:rPr>
          <w:b w:val="0"/>
          <w:szCs w:val="24"/>
        </w:rPr>
        <w:t>), если их неисправность наступила по его (их) вине.</w:t>
      </w:r>
    </w:p>
    <w:p w:rsidR="003B7C03" w:rsidRPr="003F2E4E" w:rsidRDefault="003B7C03" w:rsidP="003B7C03">
      <w:pPr>
        <w:pStyle w:val="1"/>
        <w:numPr>
          <w:ilvl w:val="0"/>
          <w:numId w:val="1"/>
        </w:numPr>
        <w:jc w:val="both"/>
        <w:rPr>
          <w:b w:val="0"/>
          <w:szCs w:val="24"/>
        </w:rPr>
      </w:pPr>
      <w:r w:rsidRPr="003F2E4E">
        <w:rPr>
          <w:b w:val="0"/>
          <w:szCs w:val="24"/>
        </w:rPr>
        <w:t>Срок аренды ИБС начинается со дня подписания  между сторонами Акта приема – передачи ИБС и исчисляется в календарных днях. Если последний день срока аренды ИБС приходиться на нерабочий день Хранилища ИБС, то днем окончания срока аренды ИБС считается ближайший следующий за ним рабочий день Хранилища ИБС. Плата за предоставление в пользование ИБС в данный нерабочий день (дни) не взимается.</w:t>
      </w:r>
    </w:p>
    <w:p w:rsidR="003B7C03" w:rsidRPr="003F2E4E" w:rsidRDefault="003B7C03" w:rsidP="003B7C03">
      <w:pPr>
        <w:pStyle w:val="1"/>
        <w:numPr>
          <w:ilvl w:val="0"/>
          <w:numId w:val="1"/>
        </w:numPr>
        <w:jc w:val="both"/>
        <w:rPr>
          <w:b w:val="0"/>
          <w:szCs w:val="24"/>
        </w:rPr>
      </w:pPr>
      <w:r w:rsidRPr="003F2E4E">
        <w:rPr>
          <w:b w:val="0"/>
          <w:szCs w:val="24"/>
        </w:rPr>
        <w:t>Возврат Арендатором (</w:t>
      </w:r>
      <w:proofErr w:type="spellStart"/>
      <w:r w:rsidRPr="003F2E4E">
        <w:rPr>
          <w:b w:val="0"/>
          <w:szCs w:val="24"/>
        </w:rPr>
        <w:t>ами</w:t>
      </w:r>
      <w:proofErr w:type="spellEnd"/>
      <w:r w:rsidRPr="003F2E4E">
        <w:rPr>
          <w:b w:val="0"/>
          <w:szCs w:val="24"/>
        </w:rPr>
        <w:t>) ИБС и Клиентского (их) ключа (ей) при досрочном прекращении пользования ИБС, а так же в связи с окончанием Срока пользования или прекращения фактического пользования ИБС сверх установленного Договором Срока пользования оформляется Сторонами Актом приема – передачи по форме, установленной Банком.</w:t>
      </w:r>
    </w:p>
    <w:p w:rsidR="003B7C03" w:rsidRPr="003F2E4E" w:rsidRDefault="003B7C03" w:rsidP="003B7C03">
      <w:pPr>
        <w:pStyle w:val="1"/>
        <w:numPr>
          <w:ilvl w:val="0"/>
          <w:numId w:val="1"/>
        </w:numPr>
        <w:jc w:val="both"/>
        <w:rPr>
          <w:b w:val="0"/>
          <w:szCs w:val="24"/>
        </w:rPr>
      </w:pPr>
      <w:r w:rsidRPr="003F2E4E">
        <w:rPr>
          <w:b w:val="0"/>
          <w:szCs w:val="24"/>
        </w:rPr>
        <w:t>В случае возникновения форс-мажорных обстоятельств Банк вправе вскрыть ИБС в отсутствие Арендатора (</w:t>
      </w:r>
      <w:proofErr w:type="spellStart"/>
      <w:r w:rsidRPr="003F2E4E">
        <w:rPr>
          <w:b w:val="0"/>
          <w:szCs w:val="24"/>
        </w:rPr>
        <w:t>ов</w:t>
      </w:r>
      <w:proofErr w:type="spellEnd"/>
      <w:r w:rsidRPr="003F2E4E">
        <w:rPr>
          <w:b w:val="0"/>
          <w:szCs w:val="24"/>
        </w:rPr>
        <w:t>).</w:t>
      </w:r>
    </w:p>
    <w:p w:rsidR="003B7C03" w:rsidRPr="003F2E4E" w:rsidRDefault="003B7C03" w:rsidP="003B7C03">
      <w:pPr>
        <w:pStyle w:val="a3"/>
        <w:numPr>
          <w:ilvl w:val="0"/>
          <w:numId w:val="1"/>
        </w:numPr>
        <w:jc w:val="both"/>
        <w:rPr>
          <w:rFonts w:ascii="Times New Roman" w:hAnsi="Times New Roman" w:cs="Times New Roman"/>
          <w:sz w:val="24"/>
          <w:szCs w:val="24"/>
        </w:rPr>
      </w:pPr>
      <w:r w:rsidRPr="003F2E4E">
        <w:rPr>
          <w:rFonts w:ascii="Times New Roman" w:hAnsi="Times New Roman" w:cs="Times New Roman"/>
          <w:sz w:val="24"/>
          <w:szCs w:val="24"/>
        </w:rPr>
        <w:t>Арендатор (</w:t>
      </w:r>
      <w:proofErr w:type="spellStart"/>
      <w:r w:rsidRPr="003F2E4E">
        <w:rPr>
          <w:rFonts w:ascii="Times New Roman" w:hAnsi="Times New Roman" w:cs="Times New Roman"/>
          <w:sz w:val="24"/>
          <w:szCs w:val="24"/>
        </w:rPr>
        <w:t>ы</w:t>
      </w:r>
      <w:proofErr w:type="spellEnd"/>
      <w:r w:rsidRPr="003F2E4E">
        <w:rPr>
          <w:rFonts w:ascii="Times New Roman" w:hAnsi="Times New Roman" w:cs="Times New Roman"/>
          <w:sz w:val="24"/>
          <w:szCs w:val="24"/>
        </w:rPr>
        <w:t xml:space="preserve">) вправе предоставить право пользования ИБС другому лицу на основании нотариально удостоверенной доверенности, либо приравненной к нотариально удостоверенной согласно правовым и нормативным актам Российской Федерации, либо оформленной и удостоверенной Банком. Доверенность от имени юридического лица должна быть подписана руководителем юридического лица или иным лицом, уполномоченным на это учредительными документами юридического лица. </w:t>
      </w:r>
    </w:p>
    <w:p w:rsidR="003B7C03" w:rsidRPr="003F2E4E" w:rsidRDefault="003B7C03" w:rsidP="003B7C03">
      <w:pPr>
        <w:pStyle w:val="1"/>
        <w:jc w:val="both"/>
        <w:rPr>
          <w:b w:val="0"/>
          <w:szCs w:val="24"/>
        </w:rPr>
      </w:pPr>
    </w:p>
    <w:p w:rsidR="003B7C03" w:rsidRPr="003F2E4E" w:rsidRDefault="003B7C03" w:rsidP="003B7C03">
      <w:pPr>
        <w:pStyle w:val="1"/>
        <w:jc w:val="both"/>
        <w:rPr>
          <w:b w:val="0"/>
          <w:szCs w:val="24"/>
        </w:rPr>
      </w:pPr>
      <w:r w:rsidRPr="003F2E4E">
        <w:rPr>
          <w:b w:val="0"/>
          <w:szCs w:val="24"/>
        </w:rPr>
        <w:t>Режим работы Банка:</w:t>
      </w:r>
    </w:p>
    <w:p w:rsidR="003B7C03" w:rsidRPr="003F2E4E" w:rsidRDefault="003B7C03" w:rsidP="003B7C03">
      <w:pPr>
        <w:pStyle w:val="1"/>
        <w:jc w:val="both"/>
        <w:rPr>
          <w:b w:val="0"/>
          <w:szCs w:val="24"/>
        </w:rPr>
      </w:pPr>
    </w:p>
    <w:p w:rsidR="003B7C03" w:rsidRPr="003F2E4E" w:rsidRDefault="003B7C03" w:rsidP="003B7C03">
      <w:pPr>
        <w:pStyle w:val="1"/>
        <w:jc w:val="both"/>
        <w:rPr>
          <w:b w:val="0"/>
          <w:szCs w:val="24"/>
        </w:rPr>
      </w:pPr>
      <w:r w:rsidRPr="003F2E4E">
        <w:rPr>
          <w:b w:val="0"/>
          <w:szCs w:val="24"/>
        </w:rPr>
        <w:t>Телефоны для справок:</w:t>
      </w:r>
    </w:p>
    <w:p w:rsidR="003B7C03" w:rsidRPr="003F2E4E" w:rsidRDefault="003B7C03" w:rsidP="003B7C03">
      <w:pPr>
        <w:pStyle w:val="1"/>
        <w:jc w:val="both"/>
        <w:rPr>
          <w:b w:val="0"/>
          <w:szCs w:val="24"/>
        </w:rPr>
      </w:pPr>
    </w:p>
    <w:p w:rsidR="00AD10EA" w:rsidRDefault="00AD10EA"/>
    <w:sectPr w:rsidR="00AD1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527B4"/>
    <w:multiLevelType w:val="hybridMultilevel"/>
    <w:tmpl w:val="9A486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7C03"/>
    <w:rsid w:val="003B7C03"/>
    <w:rsid w:val="00AD1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B7C03"/>
    <w:pPr>
      <w:keepNext/>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7C03"/>
    <w:rPr>
      <w:rFonts w:ascii="Times New Roman" w:eastAsia="Times New Roman" w:hAnsi="Times New Roman" w:cs="Times New Roman"/>
      <w:b/>
      <w:sz w:val="24"/>
      <w:szCs w:val="20"/>
    </w:rPr>
  </w:style>
  <w:style w:type="paragraph" w:styleId="a3">
    <w:name w:val="List Paragraph"/>
    <w:basedOn w:val="a"/>
    <w:uiPriority w:val="34"/>
    <w:qFormat/>
    <w:rsid w:val="003B7C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belozerova</dc:creator>
  <cp:keywords/>
  <dc:description/>
  <cp:lastModifiedBy>belozerova</cp:lastModifiedBy>
  <cp:revision>2</cp:revision>
  <dcterms:created xsi:type="dcterms:W3CDTF">2015-04-16T13:40:00Z</dcterms:created>
  <dcterms:modified xsi:type="dcterms:W3CDTF">2015-04-16T13:42:00Z</dcterms:modified>
</cp:coreProperties>
</file>